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67" w:rsidRPr="000B7567" w:rsidRDefault="000B7567" w:rsidP="000B7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ОХОРОНИ ЗДОРОВ'Я УКРАЇНИ</w:t>
      </w:r>
    </w:p>
    <w:p w:rsidR="000B7567" w:rsidRPr="000B7567" w:rsidRDefault="000B7567" w:rsidP="000B7567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ДЕРЖАВНИЙ ЗАКЛАД «ДНІПРОПЕТРОВСЬКА МЕДИЧНА АКАДЕМІЯ МІНІСТЕРСТВА ОХОРОНИ ЗДОРОВ’Я УКРАЇНИ»</w:t>
      </w:r>
    </w:p>
    <w:p w:rsidR="000B7567" w:rsidRPr="000B7567" w:rsidRDefault="000B7567" w:rsidP="000B7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567" w:rsidRPr="000B7567" w:rsidRDefault="000B7567" w:rsidP="000B7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567" w:rsidRPr="000B7567" w:rsidRDefault="000B7567" w:rsidP="000B7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567" w:rsidRPr="000B7567" w:rsidRDefault="000B7567" w:rsidP="000B7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567" w:rsidRPr="000B7567" w:rsidRDefault="000B7567" w:rsidP="000B7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ОСОБЛИВОСТІ ПРОВЕДЕННЯ РЕГЕНЕРАТИВНО-РЕКОНСТРУКТИВНИХ ВТРУЧАНЬ ПРИ ГЕНЕРАЛІЗОВАНОМУ ПАРОДОНТИТІ У ХВОРИХ НА ЦУКРОВИЙ ДІАБЕТ</w:t>
      </w:r>
    </w:p>
    <w:p w:rsidR="000B7567" w:rsidRPr="000B7567" w:rsidRDefault="000B7567" w:rsidP="000B7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 ТИПУ</w:t>
      </w:r>
    </w:p>
    <w:p w:rsidR="000B7567" w:rsidRPr="000B7567" w:rsidRDefault="000B7567" w:rsidP="000B7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567" w:rsidRPr="000B7567" w:rsidRDefault="000B7567" w:rsidP="000B7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567" w:rsidRPr="000B7567" w:rsidRDefault="000B7567" w:rsidP="000B7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567" w:rsidRPr="000B7567" w:rsidRDefault="000B7567" w:rsidP="000B756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ШАНДИБА Сергій Ігорович</w:t>
      </w:r>
      <w:r w:rsidRPr="000B75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</w:t>
      </w:r>
      <w:r w:rsidRPr="000B75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кандидат медичних наук, асистент кафедри хірургічної стоматології, </w:t>
      </w:r>
      <w:proofErr w:type="spellStart"/>
      <w:r w:rsidRPr="000B75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імплантології</w:t>
      </w:r>
      <w:proofErr w:type="spellEnd"/>
      <w:r w:rsidRPr="000B75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Pr="000B75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пародонтології</w:t>
      </w:r>
      <w:proofErr w:type="spellEnd"/>
      <w:r w:rsidRPr="000B75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закладу «Дніпропетровська медична академія Міністерства охорони здоров’я України»</w:t>
      </w:r>
    </w:p>
    <w:p w:rsidR="000B7567" w:rsidRPr="000B7567" w:rsidRDefault="000B7567" w:rsidP="000B756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7567" w:rsidRPr="000B7567" w:rsidRDefault="000B7567" w:rsidP="000B756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7567" w:rsidRPr="000B7567" w:rsidRDefault="000B7567" w:rsidP="000B756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7567">
        <w:rPr>
          <w:rFonts w:ascii="Times New Roman" w:eastAsia="Calibri" w:hAnsi="Times New Roman" w:cs="Times New Roman"/>
          <w:sz w:val="28"/>
          <w:szCs w:val="28"/>
          <w:lang w:val="uk-UA"/>
        </w:rPr>
        <w:t>РЕФЕРАТ</w:t>
      </w:r>
    </w:p>
    <w:p w:rsidR="000B7567" w:rsidRPr="000B7567" w:rsidRDefault="000B7567" w:rsidP="000B756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7567" w:rsidRPr="000B7567" w:rsidRDefault="000B7567" w:rsidP="000B756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7567" w:rsidRPr="000B7567" w:rsidRDefault="000B7567" w:rsidP="000B756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7567" w:rsidRPr="000B7567" w:rsidRDefault="000B7567" w:rsidP="000B756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7567" w:rsidRPr="000B7567" w:rsidRDefault="000B7567" w:rsidP="000B756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7567" w:rsidRPr="000B7567" w:rsidRDefault="000B7567" w:rsidP="000B756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7567">
        <w:rPr>
          <w:rFonts w:ascii="Times New Roman" w:eastAsia="Calibri" w:hAnsi="Times New Roman" w:cs="Times New Roman"/>
          <w:sz w:val="28"/>
          <w:szCs w:val="28"/>
          <w:lang w:val="uk-UA"/>
        </w:rPr>
        <w:t>Дніпро – 2017</w:t>
      </w:r>
    </w:p>
    <w:p w:rsidR="000B7567" w:rsidRPr="000B7567" w:rsidRDefault="000B7567" w:rsidP="000B75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Актуальність теми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Увага сучасних дослідників до проблеми відновного лікування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хворих на цукровий діабет пов'язана з триваючим зростанням захворюваності, швидким розвитком деструктивних змін у кісткових структурах тканин пародонту, що призводять до ранньої втрати зубів (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Булкина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2012;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Lalla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E., 2011;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Haseeb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2012).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даний час продовжується удосконалення хірургічних методів реконструктивного лікування вищезазначеної патології, проте використання найсучасніших із них не забезпечує повноцінного результату в осіб, які страждають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загальносоматичними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захворюваннями, в тому числі і на цукровий діабет 2 типу, що пов'язано зі значним уповільненням регенеративних і репаративних процесів у кістковій тканині (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Гурин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А.Н., 2013;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Kim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2002;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Eickholz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P., 2006;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Ashish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A., 2012;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Stoecklin-Wasmer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C., 2013).</w:t>
      </w:r>
    </w:p>
    <w:p w:rsidR="000B7567" w:rsidRPr="000B7567" w:rsidRDefault="00F730B4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останні роки з</w:t>
      </w:r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'явилася велика кількість доказів, що збагачена тромбоцитами плазма крові (PRP), за рахунок аутогенних чинників зростання, які містяться в ній, стимулює утворення колагену, судин, сприяє швидкому і повноцінному відновленню кісткової тканини. Є досвід використання аутогенної </w:t>
      </w:r>
      <w:proofErr w:type="spellStart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тромбоцитарної</w:t>
      </w:r>
      <w:proofErr w:type="spellEnd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 в якості розділових мембран, які застосовуються при реконструктивних оперативних </w:t>
      </w:r>
      <w:proofErr w:type="spellStart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втручаннях</w:t>
      </w:r>
      <w:proofErr w:type="spellEnd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пародонті, а також для заповнення кісткових дефектів, окремо і в комбінації з </w:t>
      </w:r>
      <w:proofErr w:type="spellStart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остеопластичними</w:t>
      </w:r>
      <w:proofErr w:type="spellEnd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препаратами (</w:t>
      </w:r>
      <w:proofErr w:type="spellStart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Иванов</w:t>
      </w:r>
      <w:proofErr w:type="spellEnd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С.Ю.,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010;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Безруков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Г., 2014</w:t>
      </w:r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із перспективних досягнень теоретичної та практичної медицини в останні роки стало використання в реконструктивній хірургії аутогенного PRF (збагаченого тромбоцитами фібрину), який був запропонований з метою прискорення утворення функціональної судинної сітки в кісткових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графтах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PRF є інноваційним інструментом у регенеративній медицині, його ключова функція полягає в регулюванні ділення клітин і їх подальшої спеціалізації (диференціації). Ще однією важливою його властивістю є пролонговане виділення у великих кількостях основних чинників зростання кісткової тканини. Крім того, а-PRF і і-PRF не тільки фібриновий 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тромбоцитарний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концентрат, але також і імунний вузол, здатний</w:t>
      </w:r>
      <w:r w:rsidR="00F73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стимулювати захисні механізми, але його т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еоретична доцільність і перспективність застосув</w:t>
      </w:r>
      <w:r w:rsidR="00F73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в </w:t>
      </w:r>
      <w:proofErr w:type="spellStart"/>
      <w:r w:rsidR="00F73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пародонтології</w:t>
      </w:r>
      <w:proofErr w:type="spellEnd"/>
      <w:r w:rsidR="00F73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жаль,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підтверджена клініко-лабораторними результатами</w:t>
      </w:r>
      <w:r w:rsidR="00F73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30B4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F730B4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Tatullo</w:t>
      </w:r>
      <w:proofErr w:type="spellEnd"/>
      <w:r w:rsidR="00F730B4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M., 2012; </w:t>
      </w:r>
      <w:proofErr w:type="spellStart"/>
      <w:r w:rsidR="00F730B4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Thamaraiselvan</w:t>
      </w:r>
      <w:proofErr w:type="spellEnd"/>
      <w:r w:rsidR="00F730B4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M., 2015)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дослідження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підвищення ефективності реконструктивного лікування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хворих на цукровий діабет 2 типу шляхом оптимізації кісткової регенерації за допомогою різних видів аутогенного збагаченого тромбоцитами фібрину (і-PRF, а-PRF) в комбінації з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остеоіндуктивним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матеріалом «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Oss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фотодинамічною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терапією та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імунокоректором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Лікопід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дослідження: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Визначити характер стоматологічного статусу, особливості порушень місцевого імунітету і процесів кісткового метаболізму у хворих на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генералізований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тлі цукрового діабету 2 типу.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Розробити спосіб хірургічного реконструктивного лікування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хворих на цукровий діабет 2 типу з застосуванням різних видів аутогенного збагаченого тромбоцитами фібрину   (i-PRF і a-PRF) в комплексі з матеріалом «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Bio-Oss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фотодинамічною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імунокорегуючою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терапією.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Провести клініко-лабораторну оцінку відновлення дефектів кісткової тканини після клаптевих операцій на пародонті у хворих на цукровий діабет 2 типу в залежності від вибору варіанта комплексного лікування.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 підставі проведеного аналізу клінічних спостережень і лабораторних даних розробити практичні рекомендації в залежності від вибору ізолюючих мембран (a-PRF, PPP та колагенових мембран) 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остеоіндуктивних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 (i-PRF, PRP) при різних типах кісткових дефектів.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Розробити прогностичні критерії оцінки перебігу репаративного процесу в пародонті у віддалені терміни після реконструктивного лікування.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Наукова новизна одержаних результатів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Вперше під час виконання роботи розроблено інноваційний спосіб хірургічного реконструктивного лікування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передбачає використання комплексу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остеоіндуктивних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 (i-PRF, a-PRF 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Bio-Oss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 створена програма його медикаментозного супроводу.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оптимізації відновного лікування у хворих на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генералізований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цукровому діабеті 2 типу науково обґрунтовано застосування в процесі хірургічних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після їх завершення короткострокових курсів загальної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антибіотикотерапії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доповненої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фотодинамічним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впливом, і призначення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імунокорегуючого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лікування. Доведено його клінічну та лабораторну доцільність. 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Вперше встановлено, що вибір різних ізолюючих мембран для направленої регенерації кісткової тканини повинен здійснюватися диференційовано з урахуванням виду кісткових дефектів пародонту. При проведенні клаптевих операцій на пародонті зі спрямованою регенерацією кісткової тканини у хворих на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генералізований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тлі цукрового діабету 2 типу доведена висока ефективність комбінованого використання аутогенного рідкого фібрину, збагаченого тромбоцитами (i-PRF), фібринових мембран (a-PRF) 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остеоіндуктивного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матеріалу «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Bio-Oss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Пріоритетними є дані про те, що періодичне проведення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патогенетично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обґрунтованих курсів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фотодинамічної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імунокорегуючої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терапії (не рідше одного разу кожні 6 місяців після операції) сприяє профілактиці рецидивів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запально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-деструктивного процесу в тканинах пародонту у хворих на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генералізований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цукровому діабеті 2 типу.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більш детальної оцінки і прогнозу результатів реконструктивного лікування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встановлена ​​можливість використання маркерів кісткового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ремоделювання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(рівнів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остеокальцину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С-термінального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тілопептиду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колагену I типу).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значення одержаних результатів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Отримані дані про особливості та види кісткових дефектів пародонту, що сформувалися в результаті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хворих на цукровий діабет 2 типу, слід враховувати при виборі ізолюючих мембран під час проведення клаптевих операцій із спрямованої регенерації кісткової тканини. Розроблена програма медикаментозного супроводу хірургічних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спрямованої регенерації тканин пародонту забезпечує більш швидку ліквідацію запальних ускладнень у ранньому та віддаленому післяопераційному періоді, потенціює більш повноцінне відновлення кісткових дефектів у даного контингенту осіб.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контролю ефективності проведеного лікування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використанням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регенеративно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-реконструктивних методів у хворих на цукровий діабет 2 типу доведено значення показників місцевого імунітету (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sIgA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IgG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IgM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цитокінів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(ІЛ-1β, ІЛ-4, ФНП-α) і маркерів кісткового метаболізму (ОК і β-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Cross-Laps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роботи впроваджені в практичну діяльність КЗ «Обласна стоматологічна поліклініка», м. Дніпропетровськ, КЗ «Дніпропетровська обласна клінічна лікарняні ім. І.І. Мечникова», м. Дніпропетровськ, КЗ «Кіровоградська обласна лікарня», м. Кіровоград, КЗ «Полтавська обласна клінічна лікарня ім.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Скліфосовського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м. Полтава, в навчальний процес Вищого державного навчального закладу «Українська медична стоматологічна академія», м. Полтава.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Особистий внесок.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 особисто провів інформаційний пошук, аналіз літературних джерел із даної проблеми. Усі клінічні дослідження, набір хворих, статистична обробка, узагальнення отриманих результатів проведені самостійно. Автор брав участь у розробці комплексної методики лікування хворих на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генералізований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цукровому діабеті 2 типу.</w:t>
      </w:r>
    </w:p>
    <w:p w:rsidR="000B7567" w:rsidRPr="000B7567" w:rsidRDefault="000B7567" w:rsidP="000B75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Публікації.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роботи опубліковані в 12 наукових працях, з них 5  статей у наукових фахових виданнях рекомендованих МОН України, 1- у закордонному виданні, 1 – у збірнику праць, 4 тези на конференціях і з'їздах. </w:t>
      </w:r>
      <w:r w:rsidR="009835EE" w:rsidRPr="0098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кількість публікацій </w:t>
      </w:r>
      <w:r w:rsidR="007D5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835EE" w:rsidRPr="0098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="0098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кількість посилань на публікації автора складає </w:t>
      </w:r>
      <w:r w:rsidR="003F4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h-індекс – 1 (згідно баз даних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Shcolar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Отримано 1 патент України на корисну модель. За матеріалами роботи захищено 1 кандидатську дисертацію.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567" w:rsidRPr="000B7567" w:rsidRDefault="000B7567" w:rsidP="000B75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Основний зміст роботи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роботи ґрунтуються на проведених дослідженнях у 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хворих на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генералізований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ступеня тяжкості на тлі цукрового діабету 2 типу у віці від 32 до 45 років. Серед них чоловіків було 27 (43,5%), жінок - 35 (56,5%). Встановлення діагнозу і тяжкості цукрового діабету, його лікування здійснювалося лікарями-ендокринологами.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Розширене клінічне,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параклінічне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здійснювалося за допомогою загальноприйнятих методів і проводилося до лікування, після хірургічного лікування, а також через 6 і 12 місяців.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об'єктивної оцінки стану тканин пародонту </w:t>
      </w:r>
      <w:r w:rsid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використовували індекс гігієни Грін-Вермільйон (ІГ)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визначали індекс кровоточивості </w:t>
      </w:r>
      <w:r w:rsid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(ІК)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Muhlemann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Н.Р.,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Коуелл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Ф.) (Г.Ф.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Белоклицкая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1999; І.С.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Мащенко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2003). Глибину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пародонтальних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кишень виміряли за допомогою комп'ютерної системи «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Florida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Probe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(Н.В. Круглов, 2012).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 способом рентгенографічного дослідження кісткових структур альвеолярних відростків щелеп була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ортопантомографія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(Н.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Перова, 2015)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7567" w:rsidRPr="000B7567" w:rsidRDefault="00826F44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ідентифікації основних </w:t>
      </w:r>
      <w:proofErr w:type="spellStart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пародонтопатогенів</w:t>
      </w:r>
      <w:proofErr w:type="spellEnd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вмісті </w:t>
      </w:r>
      <w:proofErr w:type="spellStart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пародонтальних</w:t>
      </w:r>
      <w:proofErr w:type="spellEnd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кишень застосовували </w:t>
      </w:r>
      <w:proofErr w:type="spellStart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полімеразну</w:t>
      </w:r>
      <w:proofErr w:type="spellEnd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ланцюгову реакцію з використанням ДНК-зондів із зворотної ДНК-гібридизації (тест-система </w:t>
      </w:r>
      <w:proofErr w:type="spellStart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Micro-Dent</w:t>
      </w:r>
      <w:proofErr w:type="spellEnd"/>
      <w:r w:rsidR="000B7567"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®, Німеччина) згідно інструкцій виробника.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Рівні концентрацій в нестимульованій ротовій рідині основних класів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імуноглобулінів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sIgА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IgG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IgM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встановлювали методом радіальної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імунодифузії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гелі з використанням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моноспецифічних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антисироваток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       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Manchini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(G.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Manchini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1965).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Вміст концентрації ІЛ-1β, ФНП-α та ІЛ-4 визначали в слині наборами реагентів «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Протеиновый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контур», «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Цитокин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(Росія) методом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твердофазного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імуноферментного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 за стандартною методикою згідно інструкцій виробника.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функціонування клітинного імунітету здійснювалася методом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імуноферментного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 з використанням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моноклональних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антитіл до молекул СД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СД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СД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8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СД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25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«Сорбент» (Росія) за стандартною методикою згідно інструкцій виробника.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Інтенсивність процесів резорбції кісткової тканини визначали за рівнем наростання в біохімічному складі ротової рідини продуктів деструкції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остеоматриксу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фрагментів розпаду колагену 1 типу (β-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Cross-Laps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 використанням діагностичних наборів «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Hofman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smartTag w:uri="urn:schemas-microsoft-com:office:smarttags" w:element="PersonName">
        <w:smartTagPr>
          <w:attr w:name="ProductID" w:val="La Roshe"/>
        </w:smartTagPr>
        <w:r w:rsidRPr="000B756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</w:t>
        </w:r>
        <w:r w:rsidRPr="000B756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0B756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Roshe</w:t>
        </w:r>
      </w:smartTag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(Швейцарія). Про стан кісткового формування судили, виходячи з кількісного вмісту в сиро</w:t>
      </w:r>
      <w:r w:rsidR="00826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ватці крові </w:t>
      </w:r>
      <w:proofErr w:type="spellStart"/>
      <w:r w:rsidR="00826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остеокальцину</w:t>
      </w:r>
      <w:proofErr w:type="spellEnd"/>
      <w:r w:rsidR="00826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(ОК) за допомогою набору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реагентів «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(Франція) (В.Г.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Атрушкевич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2009; 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Kotsovilis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2010).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проведених клініко-лабораторних досліджень на етапі клінічної апробації хворі на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генералізований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розділені на дві групи, які формувалися з урахуванням статі, віку, тяжкості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цукрового діабету. В основну групу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включено 32 пацієнти (51,6%), в групу порівняння 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- 30 пацієнтів (48,4%). 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Контрольну групу, яку можна порівняти за віком і статтю з хворими на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генералізований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26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ародонтит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20 здорових донорів-добровольців, </w:t>
      </w:r>
      <w:r w:rsidR="00826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="00826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інтакними</w:t>
      </w:r>
      <w:proofErr w:type="spellEnd"/>
      <w:r w:rsidR="00826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зубами і пародонтом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підготовки хворих до оперативних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проводили санацію порожнини рота та професійні гігієнічні заходи за показаннями. </w:t>
      </w:r>
      <w:r w:rsidR="00F73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ередопераційна підготовка хворих обох груп включала призначення за 2-3 дні до операції короткострокових курсів системної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антибіотикотерапії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амоксиклавом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875/125 мг 2 рази на добу, курсом до 5 днів) 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імунокорегуючої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терапії (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лікопідом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1 мг на добу, курсом до 15 днів). Місцева антибактеріальна терапія проводилася за допомогою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фотодинамічної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Helbo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фірми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Bredent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(Німеччина) (Е.А. Карцева, 2013).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Клаптеві операції у хворих I і II групи проводили за єдиним загальноприйнятим протоколом із застосуванням методу спрямованої регенерації кісткової тканини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(А.И.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Грудянов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2007)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Після чого хворим групи порівняння (II група) кісткові дефекти заповнювали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остеоіндуктивним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матеріалом «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Bio-Oss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(Швейцарія), змішаним з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аутоплазмою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збагаченою тромбоцитами (PRP) (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Ito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Kenji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2005). Ізоляція одно- 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двостінкових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кісткових дефектів у хворих групи порівняння здійснювалася лише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аутомембранами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отриманими із плазми, бідної тромбоцитами (PPP) (Т.Н.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Модина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2007). При переважанні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тристінкових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кісткових дефектів і горизонтальному типі резорбції у пацієнтів групи порівняння використовували колагенові мембрани «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Bio-Gide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(Швейцарія) (A.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Sculean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2005). В основній групі (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група) хірургічне лікування хворих здійснювалося модифікованим методом, що передбачав застосування ін'єкційного збагаченого тромбоцитами і чинниками росту фібрину (i-PRF), з метою запобігання міграції частинок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кістковопластичного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матеріалу, який вносили до кісткового трансплантату. Після зв'язування частинок кісткового матеріалу поверх отриманої композиції використовували a-PRF мембрани (покращений збагачений тромбоцитами фібрин), також виготовлені з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аутокрові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пацієнта (І.С.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Мащенко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2015). Отриманий при цьому надлишок PRF ексудату застосовували для замішування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кістковопластичного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матеріалу «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Bio-Oss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післяопераційному періоді всім хворим призначали щадну дієту, при необхідності анальгетики, рекомендували проведення 2-3 разовий гігієнічний догляд за порожниною рота протягом 8 днів (полоскання порожнини рота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гівалексом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При відсутності ранніх післяопераційних ускладнень шви знімали на 10-11 добу після виконаних хірургічних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дослідження підлягали статистичній обробці за допомогою пакету програм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Statistica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6.0 (США). Достовірність отриманих даних оцінювали за критерієм t Стьюдента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(М.Ю.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Антомонов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2006)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власних досліджень та їх обговорення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об'єктивної оцінки інформації про стан тканин пародонту в передопераційному періоді проведено аналіз вихідних кількісних показників. Показники </w:t>
      </w:r>
      <w:r w:rsidR="00826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підвищувалися у хворих основної групи і  групи  порівняння до 2,53±0,32 і 2,51±0,3, а значення </w:t>
      </w:r>
      <w:r w:rsidR="00826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2,74±0,27 і 2,71±0,26 відповідно, що свідчило про наявність запальних явищ у пародонті. Вихідна глибина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пародонтальних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кишень у хворих обох груп </w:t>
      </w:r>
      <w:r w:rsidR="00F73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становила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середньому 5,56±0,19 і 5,59±</w:t>
      </w:r>
      <w:smartTag w:uri="urn:schemas-microsoft-com:office:smarttags" w:element="metricconverter">
        <w:smartTagPr>
          <w:attr w:name="ProductID" w:val="0,21 мм"/>
        </w:smartTagPr>
        <w:r w:rsidRPr="000B756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0,21 мм</w:t>
        </w:r>
      </w:smartTag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Проведені мікробіологічні дослідження дозволили встановити, що найбільш часто у вмісті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пародонтальних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кишень при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генералізованому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пародонтиті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хворих на цукровий діабет 2 типу зустрічалися такі «маркери»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Porphyromonas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gingivalis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Prevotella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intermedia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умовно-патогенні анаеробні бактерії -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Fusobacterium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necroforum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Peptostreptococcus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micros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Streptococcus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intermedius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Staphylococcus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aureus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грибами роду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Candida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проведеного медикаментозного лікування 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фотодинамічної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терапії системою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Helbo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 мікрофлори, виділеної з ясенних тканин, зазнавав значних змін - число представників патогенної та умовно-патогенної флори різко скорочувалася. Бактеріологічна картина характеризувалася мізерністю виділених видів і відсутністю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пародонтопатогенів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здатних ініціювати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запально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-деструктивні процеси в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пародонтальних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тканинах, а також наявністю стабілізуючих мікроорганізмів більш ніж у 90% випадків. 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Проведені дослідження не виявили статистичної різниці у вмісті основних класів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імуноглобулінів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змішаній слині в пацієнтів основної і групи порівняння. Звернено увагу при цьому на значний дефіцит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sIgA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вміст якого було знижено у представників обох груп більше ніж у 3,4 рази (відповідно до 0,37±0,03 г/л, 0,39±0,04 г/л, при нормі 1,30±0,03 г/л). Зареєстровано помірне підвищення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IgM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(0,61±0,04 г/л проти 0,62±0,03</w:t>
      </w:r>
      <w:r w:rsidRPr="000B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г/л) і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IgG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(1,06±0,04 проти 1,08±0,02 г/л), що свідчить про недостатнє компенсаторне реагування місцевого імунного захисту.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вивченні клітинного імунітету отримані свідоцтва про значне зниження зрілих Т лімфоцитів (СД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хелперно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-індукторної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субпопуляції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СД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СД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8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СД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25</w:t>
      </w:r>
      <w:r w:rsidRPr="000B756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клітин. Дані зміни можна розцінювати як реакцію пригнічення клітинної ланки імунітету з деякою перевагою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супреcорно-цитостатичної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функції.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вихідному дослідженні системи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цитокінів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хворих обох груп відзначено значне збільшення рівнів ІЛ-1β і ФНП-α (до 596,3±21,1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пг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/мл і 343,7±19,3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пг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/мл проти 584,6±20,9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пг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/мл і 327±20,1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пг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/мл), що відображає активність запального процесу в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пародонтальних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тканинах і переважання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прозапальних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цитокінів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 цьому встановлено значне зниження ІЛ-4 (в 1,4 рази) у досліджуваних обох груп (46,2±2,7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пг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/мл і 45,7±2,4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пг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/мл відповідно).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Проведені дослідження маркерів кісткового метаболізму у хворих основної та групи порівняння до оперативних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свідчать, що вміст основного показника кісткової фармації -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остеокальцину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(ОК) вияви</w:t>
      </w:r>
      <w:r w:rsidR="00F73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зниженим (до 28,9±0,3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/мл і 29,3±0,3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/мл). Навпаки, концентрація β-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Cross-Laps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(маркера резорбції) була у всіх пацієнтів різко підвищеною (в середньому до 2,73±0,02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/мл і 2,71±0,02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/мл), перевищуючи значення норми в 2,5 рази.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Хірургічне лікування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генералізованого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хворих на цукровий діабет 2 типу проводили через місяць після передопераційної підготовки, переконавшись у стабільності досягнутого поліпшення з боку клінічного прояву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інфекційно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-запального процесу в тканинах пародонту.</w:t>
      </w:r>
    </w:p>
    <w:p w:rsidR="000B7567" w:rsidRPr="000B7567" w:rsidRDefault="000B7567" w:rsidP="009812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Порівнюючи динаміку післяопераційного періоду в пацієнтів обох груп, кількість ускладнень на післяопераційну травму, клінічний прояв запального процесу і його тривалість в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пародонтальних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тканинах були різними. В переважній більшості випадків (78,2%) хворі основної групи вже на третю добу після проведеного оперативного втручання не скаржилися, на відміну від пацієнтів, які отримували традиційне комплексне лікування (група порівняння). В основній групі біль, набряк, гіперемія в області хірургічного втручання були менш виражені (в основному незначні у 20 (62,5%) пацієнтів) і на 2-3 добу зникали. До 3-4 доби у хворих основної групи колір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клаптів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ставав блідо-рожевим, залишалася незначна гіперемія і набряк тканин у 4 (12,5%) хворих, у решти (87,5%) ці ознаки запальної реакції повністю зникали.</w:t>
      </w:r>
      <w:r w:rsidR="0098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Терміни первинного загоєння рани становили в основній групі 6,56±0,4 дня, в групі порівняння - 9,16±0,7 дня (p&lt;0,05).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Оцінюючи стан пародонту в більш пізні післяопераційні терміни, слід зазначити, що середні значення індексів гігієни та кровоточивості знизилися вже через один місяць: ІГ до 0,62±0,03, ІК до 0,59±0,04; ІГ до 0,89±0,02 і ІК до 0,70±0,04 відповідно у хворих основної та групи порівняння. На цьому рівні аналізовані показники у більшості хворих обох груп залишалися і через 6 і 12 місяців, що підтверджувало наявність у них хорошого гігієнічного стану ротової порожнини і відсутність у спостережуваних клінічних ознак запальних явищ у даних структурах у 58 досліджуваних (93,5%).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отриманими даними в пізні терміни спостережень, більш значимо зменшилася глибина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пародонтальних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кишень у осіб основної групи. 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До лікування середнє значення глибини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пародонтальних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кишень в основній групі складало 5,56±</w:t>
      </w:r>
      <w:smartTag w:uri="urn:schemas-microsoft-com:office:smarttags" w:element="metricconverter">
        <w:smartTagPr>
          <w:attr w:name="ProductID" w:val="0,19 мм"/>
        </w:smartTagPr>
        <w:r w:rsidRPr="000B7567">
          <w:rPr>
            <w:rFonts w:ascii="Times New Roman" w:eastAsia="Times New Roman" w:hAnsi="Times New Roman" w:cs="Times New Roman"/>
            <w:spacing w:val="4"/>
            <w:sz w:val="28"/>
            <w:szCs w:val="28"/>
            <w:lang w:val="uk-UA" w:eastAsia="ru-RU"/>
          </w:rPr>
          <w:t>0,19 мм</w:t>
        </w:r>
      </w:smartTag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, в групі порівняння 5,59±</w:t>
      </w:r>
      <w:smartTag w:uri="urn:schemas-microsoft-com:office:smarttags" w:element="metricconverter">
        <w:smartTagPr>
          <w:attr w:name="ProductID" w:val="0,21 мм"/>
        </w:smartTagPr>
        <w:r w:rsidRPr="000B7567">
          <w:rPr>
            <w:rFonts w:ascii="Times New Roman" w:eastAsia="Times New Roman" w:hAnsi="Times New Roman" w:cs="Times New Roman"/>
            <w:spacing w:val="4"/>
            <w:sz w:val="28"/>
            <w:szCs w:val="28"/>
            <w:lang w:val="uk-UA" w:eastAsia="ru-RU"/>
          </w:rPr>
          <w:t>0,21 мм</w:t>
        </w:r>
      </w:smartTag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, після лікування через 6 місяців 0,92±</w:t>
      </w:r>
      <w:smartTag w:uri="urn:schemas-microsoft-com:office:smarttags" w:element="metricconverter">
        <w:smartTagPr>
          <w:attr w:name="ProductID" w:val="0,09 мм"/>
        </w:smartTagPr>
        <w:r w:rsidRPr="000B7567">
          <w:rPr>
            <w:rFonts w:ascii="Times New Roman" w:eastAsia="Times New Roman" w:hAnsi="Times New Roman" w:cs="Times New Roman"/>
            <w:spacing w:val="4"/>
            <w:sz w:val="28"/>
            <w:szCs w:val="28"/>
            <w:lang w:val="uk-UA" w:eastAsia="ru-RU"/>
          </w:rPr>
          <w:t>0,09 мм</w:t>
        </w:r>
      </w:smartTag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і 1,42±</w:t>
      </w:r>
      <w:smartTag w:uri="urn:schemas-microsoft-com:office:smarttags" w:element="metricconverter">
        <w:smartTagPr>
          <w:attr w:name="ProductID" w:val="0,14 мм"/>
        </w:smartTagPr>
        <w:r w:rsidRPr="000B7567">
          <w:rPr>
            <w:rFonts w:ascii="Times New Roman" w:eastAsia="Times New Roman" w:hAnsi="Times New Roman" w:cs="Times New Roman"/>
            <w:spacing w:val="4"/>
            <w:sz w:val="28"/>
            <w:szCs w:val="28"/>
            <w:lang w:val="uk-UA" w:eastAsia="ru-RU"/>
          </w:rPr>
          <w:t>0,14 мм</w:t>
        </w:r>
      </w:smartTag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відповідно. Характерно, що через 12 місяців цей показник в основній групі хворих також знизився більш істотно по відношенню до таких у осіб групи порівняння (відповідно до 0,77±</w:t>
      </w:r>
      <w:smartTag w:uri="urn:schemas-microsoft-com:office:smarttags" w:element="metricconverter">
        <w:smartTagPr>
          <w:attr w:name="ProductID" w:val="0,09 мм"/>
        </w:smartTagPr>
        <w:r w:rsidRPr="000B7567">
          <w:rPr>
            <w:rFonts w:ascii="Times New Roman" w:eastAsia="Times New Roman" w:hAnsi="Times New Roman" w:cs="Times New Roman"/>
            <w:spacing w:val="4"/>
            <w:sz w:val="28"/>
            <w:szCs w:val="28"/>
            <w:lang w:val="uk-UA" w:eastAsia="ru-RU"/>
          </w:rPr>
          <w:t>0,09 мм</w:t>
        </w:r>
      </w:smartTag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проти 1,42±</w:t>
      </w:r>
      <w:smartTag w:uri="urn:schemas-microsoft-com:office:smarttags" w:element="metricconverter">
        <w:smartTagPr>
          <w:attr w:name="ProductID" w:val="0,16 мм"/>
        </w:smartTagPr>
        <w:r w:rsidRPr="000B7567">
          <w:rPr>
            <w:rFonts w:ascii="Times New Roman" w:eastAsia="Times New Roman" w:hAnsi="Times New Roman" w:cs="Times New Roman"/>
            <w:spacing w:val="4"/>
            <w:sz w:val="28"/>
            <w:szCs w:val="28"/>
            <w:lang w:val="uk-UA" w:eastAsia="ru-RU"/>
          </w:rPr>
          <w:t>0,16 мм</w:t>
        </w:r>
      </w:smartTag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). 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Через 2 тижні після оперативних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втручань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у переважної кількості хворих встановлена ​​нормалізація вмісту в ротовій рідині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sIgA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,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IgG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,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IgM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, відбулося перемикання синтезу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прозапальних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цитокінів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(ІЛ-1β, ФНП-α знижувались до рівнів умовної норми) на протизапальні (ІЛ-4). Так, у переважної кількості хворих основної групи (81,3%) відзначалася повна нормалізація вмісту в периферичній крові СД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val="uk-UA" w:eastAsia="ru-RU"/>
        </w:rPr>
        <w:t>3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, СД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val="uk-UA" w:eastAsia="ru-RU"/>
        </w:rPr>
        <w:t>4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, СД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val="uk-UA" w:eastAsia="ru-RU"/>
        </w:rPr>
        <w:t>8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і СД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val="uk-UA" w:eastAsia="ru-RU"/>
        </w:rPr>
        <w:t>25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vertAlign w:val="superscript"/>
          <w:lang w:val="uk-UA" w:eastAsia="ru-RU"/>
        </w:rPr>
        <w:t>+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клітин. Досягнуті якісні зміни з боку гуморального і клітинного імунітету в осіб основної групи стабільно перебували на одному і тому ж рівні й у віддалені терміни спостереження (через 6 і 12 місяців). </w:t>
      </w:r>
    </w:p>
    <w:p w:rsidR="000B7567" w:rsidRPr="000B7567" w:rsidRDefault="000B7567" w:rsidP="000B7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Вивчення показників кісткового метаболізму в динаміці вказувало на перевагу розробленого нами лікувального комплексу. Так, через місяць після оперативного лікування в пацієнтів основної групи достовірно підвищувався вміст у змішаній слині ОК, який наближався до показників умовної норми (37,6±0,4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/мл), а через 6 місяців його концентрація досягала показників контрольної групи (37,9±0,3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/мл) і в подальшому стабільно перебувала на цьому рівні. У групі порівняння цей період був менш виражений. Зміст названого маркера відновлення кісткової тканини відповідно зростав до 36,1±0,4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/мл, а до 12 місяця знизився до 32,1±0,3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/мл. Характерно, що через 6-12 місяців тільки у хворих основної групи </w:t>
      </w:r>
      <w:r w:rsidR="0098123C"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вміст маркера кісткової резорбції </w:t>
      </w:r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відповідав такому, як і в контрольній групі (1,19±0,05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/мл і 1,15±0,03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/мл), і був дещо підвищеним у пацієнтів групи порівняння (1,32±0,05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/мл і 1,84±0,07 </w:t>
      </w:r>
      <w:proofErr w:type="spellStart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нг</w:t>
      </w:r>
      <w:proofErr w:type="spellEnd"/>
      <w:r w:rsidRPr="000B7567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/мл).</w:t>
      </w:r>
    </w:p>
    <w:p w:rsidR="00776C31" w:rsidRPr="000B7567" w:rsidRDefault="000B7567" w:rsidP="00F730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проведені лабораторні дослідження та клінічні спостереження дозволили встановити, що розроблений лікувально-профілактичний комплекс при оперативному лікуванні </w:t>
      </w:r>
      <w:proofErr w:type="spellStart"/>
      <w:r w:rsid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генералізованого</w:t>
      </w:r>
      <w:proofErr w:type="spellEnd"/>
      <w:r w:rsid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пародонтиту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хворих на </w:t>
      </w:r>
      <w:r w:rsid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цукровий діабет 2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типу можна вважати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патогенетично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обґрунтованим. Його використання в передопераційний період і в подальшому дозволяє домогтися елімінації патогенних бактерій, нормалізації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біоцидної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функції слизової оболонки ясен, відновлення </w:t>
      </w:r>
      <w:r w:rsidR="0093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</w:t>
      </w:r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імунної системи, що створює оптимальні умови для регенерації кісткової тканини в </w:t>
      </w:r>
      <w:proofErr w:type="spellStart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пародонтальному</w:t>
      </w:r>
      <w:proofErr w:type="spellEnd"/>
      <w:r w:rsidRPr="000B7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комплексі.</w:t>
      </w:r>
    </w:p>
    <w:p w:rsidR="00776C31" w:rsidRPr="00776C31" w:rsidRDefault="00776C31" w:rsidP="00F730B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C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</w:t>
      </w:r>
    </w:p>
    <w:p w:rsidR="00776C31" w:rsidRPr="00776C31" w:rsidRDefault="00776C31" w:rsidP="00F730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У роботі представлено клініко-лабораторне обґрунтування нового рішення наукової задачі - підвищення ефективності хірургічного лікування ГП у хворих на ЦД 2 типу шляхом вивчення особливостей клінічного перебігу захворювання, стану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мікробіоценозу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імунологічного статусу і процесів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ремоделювання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кісткової тканини пародонту і розробки на підставі цього нового, більш ефективного лікувально-профілактичного комплексу.</w:t>
      </w:r>
    </w:p>
    <w:p w:rsidR="00776C31" w:rsidRPr="00776C31" w:rsidRDefault="00776C31" w:rsidP="00F730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Встановлено, що клінічний прояв хронічного ГП у хворих на ЦД 2 типу має ряд особливостей, пов'язаних із значним зниженням репаративних процесів кісткової тканини, що в короткі терміни призводить до утворення глибоких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пародонтальних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кишень на тлі стандартно вираженої запальної реакції м'яких тканин, поєднується з місцевим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імунодефіцитним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станом, дисбалансом з боку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прозапальних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протизапальних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цитокінів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6C31" w:rsidRPr="00776C31" w:rsidRDefault="00776C31" w:rsidP="00F730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Розроблено спосіб хірургічного реконструктивного лікування ГП у хворих на ЦД 2 типу, який передбачає використання комплексу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остеоіндуктивних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 (i-PRF з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аутомембранами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a-PRF і матеріалом        «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Bio-Oss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»),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фотодинамічної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терапії та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імунокорекції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препаратом «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Лікопід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що дозволяє скоротити терміни загоєння рани в середньому на 2,6±0,3 дня.</w:t>
      </w:r>
    </w:p>
    <w:p w:rsidR="00776C31" w:rsidRPr="00776C31" w:rsidRDefault="00776C31" w:rsidP="00F730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Застосування a-PRF і i-PRF як мембран і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остеоіндуктивного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матеріалу дозволяє домогтися відновлення кісткової тканини в області кісткових дефектів пародонту у віддаленому періоді після хірургічних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 ніж у 80% хворих, проти 66,7% при використанні традиційних РРР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аутомембран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колагенових мембран.</w:t>
      </w:r>
    </w:p>
    <w:p w:rsidR="00776C31" w:rsidRPr="00776C31" w:rsidRDefault="00776C31" w:rsidP="00F730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Доведено доцільність і високу ефективність (84,4%) використання        i-PRF в поєднанні з a-PRF мембранами для оптимізації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остеогенезу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хірургічному реконструктивному лікуванні ГП при всіх типах кісткових дефектів і їх перевага над диференційованим застосуванням РРР мембран і колагенових мембран.</w:t>
      </w:r>
    </w:p>
    <w:p w:rsidR="004A67E8" w:rsidRDefault="00776C31" w:rsidP="004A67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Ранніми передвісниками рецидивів запального процесу в пародонті після оперативних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застосуванням направленої регенерації кісткової тканини є значне зниження концентрації в ротовій рідині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sIgA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протизапального ІЛ-4 на тлі надмірного вмісту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прозапальних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цитокінів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ІЛ-1β, ФНП-α і розбалансування процесів кісткового 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ремоделювання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підвищеня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β-</w:t>
      </w:r>
      <w:proofErr w:type="spellStart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Cross-Laps</w:t>
      </w:r>
      <w:proofErr w:type="spellEnd"/>
      <w:r w:rsidRPr="0077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зниження рівнів ОК).</w:t>
      </w:r>
    </w:p>
    <w:p w:rsidR="00C56511" w:rsidRDefault="00C56511" w:rsidP="004A67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4FE" w:rsidRDefault="009564FE" w:rsidP="00C565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Асистент кафедри хірургічної стоматології,</w:t>
      </w:r>
    </w:p>
    <w:p w:rsidR="009564FE" w:rsidRPr="00F730B4" w:rsidRDefault="009564FE" w:rsidP="00C565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імплантології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пародонтології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к.мед.н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56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A6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A6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С.І. </w:t>
      </w:r>
      <w:proofErr w:type="spellStart"/>
      <w:r w:rsidR="004A6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sectPr w:rsidR="009564FE" w:rsidRPr="00F730B4" w:rsidSect="009564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31" w:rsidRDefault="00776C31" w:rsidP="00776C31">
      <w:pPr>
        <w:spacing w:after="0" w:line="240" w:lineRule="auto"/>
      </w:pPr>
      <w:r>
        <w:separator/>
      </w:r>
    </w:p>
  </w:endnote>
  <w:endnote w:type="continuationSeparator" w:id="0">
    <w:p w:rsidR="00776C31" w:rsidRDefault="00776C31" w:rsidP="0077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31" w:rsidRDefault="00776C31" w:rsidP="00776C31">
      <w:pPr>
        <w:spacing w:after="0" w:line="240" w:lineRule="auto"/>
      </w:pPr>
      <w:r>
        <w:separator/>
      </w:r>
    </w:p>
  </w:footnote>
  <w:footnote w:type="continuationSeparator" w:id="0">
    <w:p w:rsidR="00776C31" w:rsidRDefault="00776C31" w:rsidP="0077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4964"/>
      <w:docPartObj>
        <w:docPartGallery w:val="Page Numbers (Top of Page)"/>
        <w:docPartUnique/>
      </w:docPartObj>
    </w:sdtPr>
    <w:sdtEndPr/>
    <w:sdtContent>
      <w:p w:rsidR="00776C31" w:rsidRDefault="00776C31" w:rsidP="00776C3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11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78"/>
    <w:rsid w:val="000B7567"/>
    <w:rsid w:val="003F453E"/>
    <w:rsid w:val="00480172"/>
    <w:rsid w:val="004A67E8"/>
    <w:rsid w:val="006F65DC"/>
    <w:rsid w:val="00776C31"/>
    <w:rsid w:val="007D5CB5"/>
    <w:rsid w:val="00826F44"/>
    <w:rsid w:val="009333DD"/>
    <w:rsid w:val="009564FE"/>
    <w:rsid w:val="0098123C"/>
    <w:rsid w:val="009835EE"/>
    <w:rsid w:val="009D1C9F"/>
    <w:rsid w:val="00A07978"/>
    <w:rsid w:val="00AD1309"/>
    <w:rsid w:val="00C56511"/>
    <w:rsid w:val="00F20411"/>
    <w:rsid w:val="00F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CBB0D-A37C-4C1D-9D33-D6F6145E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C31"/>
  </w:style>
  <w:style w:type="paragraph" w:styleId="a5">
    <w:name w:val="footer"/>
    <w:basedOn w:val="a"/>
    <w:link w:val="a6"/>
    <w:uiPriority w:val="99"/>
    <w:unhideWhenUsed/>
    <w:rsid w:val="0077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C31"/>
  </w:style>
  <w:style w:type="paragraph" w:styleId="a7">
    <w:name w:val="Balloon Text"/>
    <w:basedOn w:val="a"/>
    <w:link w:val="a8"/>
    <w:uiPriority w:val="99"/>
    <w:semiHidden/>
    <w:unhideWhenUsed/>
    <w:rsid w:val="0095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domli</dc:creator>
  <cp:keywords/>
  <dc:description/>
  <cp:lastModifiedBy>InterStom</cp:lastModifiedBy>
  <cp:revision>6</cp:revision>
  <cp:lastPrinted>2017-01-19T09:14:00Z</cp:lastPrinted>
  <dcterms:created xsi:type="dcterms:W3CDTF">2017-01-16T01:22:00Z</dcterms:created>
  <dcterms:modified xsi:type="dcterms:W3CDTF">2017-01-19T09:32:00Z</dcterms:modified>
</cp:coreProperties>
</file>